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4C2B1" w14:textId="69197CE7" w:rsidR="00EF1764" w:rsidRDefault="00EF1764" w:rsidP="00C16350">
      <w:pPr>
        <w:spacing w:after="120" w:line="276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61239153"/>
      <w:r w:rsidRPr="00B458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</w:t>
      </w:r>
      <w:r w:rsidR="004C55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63</w:t>
      </w:r>
      <w:r w:rsidRPr="00B458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</w:t>
      </w:r>
      <w:bookmarkEnd w:id="0"/>
    </w:p>
    <w:p w14:paraId="5694DED1" w14:textId="1735B55F" w:rsidR="00397BA1" w:rsidRDefault="00EF1764" w:rsidP="00EF176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458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İHRACATA HAZIRLIK VE YURT DIŞINA YÖNELİK PAZARLAMA AŞAMASI DESTEKLERİNE YÖNELİK İZLEME VE DEĞERLENDİRME UYGULAMASI</w:t>
      </w:r>
    </w:p>
    <w:p w14:paraId="62DA1F58" w14:textId="77777777" w:rsidR="007B18AD" w:rsidRPr="007B18AD" w:rsidRDefault="007B18AD" w:rsidP="00C94DEC">
      <w:pPr>
        <w:spacing w:after="120" w:line="276" w:lineRule="auto"/>
        <w:jc w:val="both"/>
        <w:rPr>
          <w:rFonts w:eastAsia="Times New Roman" w:cstheme="minorHAnsi"/>
          <w:sz w:val="6"/>
          <w:szCs w:val="6"/>
          <w:lang w:eastAsia="tr-TR"/>
        </w:rPr>
      </w:pPr>
    </w:p>
    <w:p w14:paraId="5A053538" w14:textId="6E180018" w:rsidR="002F7A5C" w:rsidRDefault="000B3B78" w:rsidP="00C94DEC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 xml:space="preserve">5447 sayılı </w:t>
      </w:r>
      <w:r w:rsidRPr="00C27769">
        <w:rPr>
          <w:rFonts w:cstheme="minorHAnsi"/>
          <w:bCs/>
          <w:sz w:val="24"/>
          <w:szCs w:val="24"/>
        </w:rPr>
        <w:t xml:space="preserve">Türkiye Bilişim Sektörünün Uluslararasılaşması </w:t>
      </w:r>
      <w:r w:rsidR="00906951" w:rsidRPr="00C27769">
        <w:rPr>
          <w:rFonts w:cstheme="minorHAnsi"/>
          <w:bCs/>
          <w:sz w:val="24"/>
          <w:szCs w:val="24"/>
        </w:rPr>
        <w:t>v</w:t>
      </w:r>
      <w:r w:rsidRPr="00C27769">
        <w:rPr>
          <w:rFonts w:cstheme="minorHAnsi"/>
          <w:bCs/>
          <w:sz w:val="24"/>
          <w:szCs w:val="24"/>
        </w:rPr>
        <w:t>e E-</w:t>
      </w:r>
      <w:r w:rsidR="009B72B7">
        <w:rPr>
          <w:rFonts w:eastAsia="Times New Roman" w:cstheme="minorHAnsi"/>
          <w:sz w:val="24"/>
          <w:szCs w:val="24"/>
          <w:lang w:eastAsia="tr-TR"/>
        </w:rPr>
        <w:t xml:space="preserve">TURQUALITY </w:t>
      </w:r>
      <w:r w:rsidRPr="00C27769">
        <w:rPr>
          <w:rFonts w:cstheme="minorHAnsi"/>
          <w:bCs/>
          <w:sz w:val="24"/>
          <w:szCs w:val="24"/>
        </w:rPr>
        <w:t>(Bilişimin Yıldızları) Programı Hakkında Kararın</w:t>
      </w:r>
      <w:r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>“</w:t>
      </w:r>
      <w:r w:rsidR="007F13CB" w:rsidRPr="00C27769">
        <w:rPr>
          <w:rFonts w:eastAsia="Times New Roman" w:cstheme="minorHAnsi"/>
          <w:sz w:val="24"/>
          <w:szCs w:val="24"/>
          <w:lang w:eastAsia="tr-TR"/>
        </w:rPr>
        <w:t>İhracata Hazırlık ve Kurumsal Kapasite Oluşturma Aşaması Destekleri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>”</w:t>
      </w:r>
      <w:r w:rsidR="007F13CB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>ile</w:t>
      </w:r>
      <w:r w:rsidR="007F13CB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>“</w:t>
      </w:r>
      <w:r w:rsidR="007F13CB" w:rsidRPr="00C27769">
        <w:rPr>
          <w:rFonts w:eastAsia="Times New Roman" w:cstheme="minorHAnsi"/>
          <w:sz w:val="24"/>
          <w:szCs w:val="24"/>
          <w:lang w:eastAsia="tr-TR"/>
        </w:rPr>
        <w:t xml:space="preserve">Yurt Dışına Yönelik Pazarlama ve Pazarda Tutundurma Aşaması </w:t>
      </w:r>
      <w:proofErr w:type="spellStart"/>
      <w:r w:rsidR="007F13CB" w:rsidRPr="00C27769">
        <w:rPr>
          <w:rFonts w:eastAsia="Times New Roman" w:cstheme="minorHAnsi"/>
          <w:sz w:val="24"/>
          <w:szCs w:val="24"/>
          <w:lang w:eastAsia="tr-TR"/>
        </w:rPr>
        <w:t>Destekleri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>”</w:t>
      </w:r>
      <w:r w:rsidR="005C6FA3" w:rsidRPr="00C27769">
        <w:rPr>
          <w:rFonts w:eastAsia="Times New Roman" w:cstheme="minorHAnsi"/>
          <w:sz w:val="24"/>
          <w:szCs w:val="24"/>
          <w:lang w:eastAsia="tr-TR"/>
        </w:rPr>
        <w:t>nden</w:t>
      </w:r>
      <w:proofErr w:type="spellEnd"/>
      <w:r w:rsidR="005C6FA3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33ED1" w:rsidRPr="00C27769">
        <w:rPr>
          <w:rFonts w:eastAsia="Times New Roman" w:cstheme="minorHAnsi"/>
          <w:sz w:val="24"/>
          <w:szCs w:val="24"/>
          <w:lang w:eastAsia="tr-TR"/>
        </w:rPr>
        <w:t>yararlan</w:t>
      </w:r>
      <w:r w:rsidR="002F7A5C">
        <w:rPr>
          <w:rFonts w:eastAsia="Times New Roman" w:cstheme="minorHAnsi"/>
          <w:sz w:val="24"/>
          <w:szCs w:val="24"/>
          <w:lang w:eastAsia="tr-TR"/>
        </w:rPr>
        <w:t>an</w:t>
      </w:r>
      <w:r w:rsidR="005C6FA3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F13CB" w:rsidRPr="00C27769">
        <w:rPr>
          <w:rFonts w:eastAsia="Times New Roman" w:cstheme="minorHAnsi"/>
          <w:sz w:val="24"/>
          <w:szCs w:val="24"/>
          <w:lang w:eastAsia="tr-TR"/>
        </w:rPr>
        <w:t xml:space="preserve">şirketlere yönelik </w:t>
      </w:r>
      <w:r w:rsidR="004F4442">
        <w:rPr>
          <w:rFonts w:eastAsia="Times New Roman" w:cstheme="minorHAnsi"/>
          <w:sz w:val="24"/>
          <w:szCs w:val="24"/>
          <w:lang w:eastAsia="tr-TR"/>
        </w:rPr>
        <w:t xml:space="preserve">performans </w:t>
      </w:r>
      <w:r w:rsidR="00433ED1" w:rsidRPr="00C27769">
        <w:rPr>
          <w:rFonts w:eastAsia="Times New Roman" w:cstheme="minorHAnsi"/>
          <w:sz w:val="24"/>
          <w:szCs w:val="24"/>
          <w:lang w:eastAsia="tr-TR"/>
        </w:rPr>
        <w:t>izleme ve değerlendirme</w:t>
      </w:r>
      <w:r w:rsidR="00C16350" w:rsidRPr="00C27769">
        <w:rPr>
          <w:rFonts w:eastAsia="Times New Roman" w:cstheme="minorHAnsi"/>
          <w:sz w:val="24"/>
          <w:szCs w:val="24"/>
          <w:lang w:eastAsia="tr-TR"/>
        </w:rPr>
        <w:t xml:space="preserve"> uygulaması</w:t>
      </w:r>
      <w:r w:rsidR="002F7A5C">
        <w:rPr>
          <w:rFonts w:eastAsia="Times New Roman" w:cstheme="minorHAnsi"/>
          <w:sz w:val="24"/>
          <w:szCs w:val="24"/>
          <w:lang w:eastAsia="tr-TR"/>
        </w:rPr>
        <w:t xml:space="preserve"> aşağıdaki şekilde gerçekleştirilir.</w:t>
      </w:r>
    </w:p>
    <w:p w14:paraId="772AFB36" w14:textId="2405BD6B" w:rsidR="003C0DD3" w:rsidRDefault="003C0DD3" w:rsidP="00C94DEC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Şirketler, </w:t>
      </w:r>
      <w:r w:rsidRPr="003C0DD3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her takvim yılında yaptıkları ilk destek başvurusu ile birlikte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3C0DD3">
        <w:rPr>
          <w:rFonts w:eastAsia="Times New Roman" w:cstheme="minorHAnsi"/>
          <w:b/>
          <w:bCs/>
          <w:sz w:val="24"/>
          <w:szCs w:val="24"/>
          <w:lang w:eastAsia="tr-TR"/>
        </w:rPr>
        <w:t>Finansal Bilgi Formu (Ek-1D)</w:t>
      </w:r>
      <w:r>
        <w:rPr>
          <w:rFonts w:eastAsia="Times New Roman" w:cstheme="minorHAnsi"/>
          <w:sz w:val="24"/>
          <w:szCs w:val="24"/>
          <w:lang w:eastAsia="tr-TR"/>
        </w:rPr>
        <w:t xml:space="preserve">’nu Hizmet İhracatçıları Birliği Genel Sekreterliği’ne iletir. </w:t>
      </w:r>
      <w:r w:rsidR="004F4442">
        <w:rPr>
          <w:rFonts w:eastAsia="Times New Roman" w:cstheme="minorHAnsi"/>
          <w:sz w:val="24"/>
          <w:szCs w:val="24"/>
          <w:lang w:eastAsia="tr-TR"/>
        </w:rPr>
        <w:t>Genel Sekreterliğe iletilen formlarda eksiklik olduğunun tespiti halinde, söz konusu eksikliğin giderilmesi için şirkete 1 ay süre verilir. Belirtilen sürede eksikliğin giderilme</w:t>
      </w:r>
      <w:r w:rsidR="00D221C9">
        <w:rPr>
          <w:rFonts w:eastAsia="Times New Roman" w:cstheme="minorHAnsi"/>
          <w:sz w:val="24"/>
          <w:szCs w:val="24"/>
          <w:lang w:eastAsia="tr-TR"/>
        </w:rPr>
        <w:t>me</w:t>
      </w:r>
      <w:r w:rsidR="004F4442">
        <w:rPr>
          <w:rFonts w:eastAsia="Times New Roman" w:cstheme="minorHAnsi"/>
          <w:sz w:val="24"/>
          <w:szCs w:val="24"/>
          <w:lang w:eastAsia="tr-TR"/>
        </w:rPr>
        <w:t xml:space="preserve">si halinde ilgili yılda ihracat yapılmamış sayılır. </w:t>
      </w:r>
      <w:r>
        <w:rPr>
          <w:rFonts w:eastAsia="Times New Roman" w:cstheme="minorHAnsi"/>
          <w:sz w:val="24"/>
          <w:szCs w:val="24"/>
          <w:lang w:eastAsia="tr-TR"/>
        </w:rPr>
        <w:t xml:space="preserve">Genel Sekreterlik, şirketler tarafından </w:t>
      </w:r>
      <w:r w:rsidR="004F4442">
        <w:rPr>
          <w:rFonts w:eastAsia="Times New Roman" w:cstheme="minorHAnsi"/>
          <w:sz w:val="24"/>
          <w:szCs w:val="24"/>
          <w:lang w:eastAsia="tr-TR"/>
        </w:rPr>
        <w:t xml:space="preserve">eksiksiz olarak </w:t>
      </w:r>
      <w:r>
        <w:rPr>
          <w:rFonts w:eastAsia="Times New Roman" w:cstheme="minorHAnsi"/>
          <w:sz w:val="24"/>
          <w:szCs w:val="24"/>
          <w:lang w:eastAsia="tr-TR"/>
        </w:rPr>
        <w:t xml:space="preserve">iletilen </w:t>
      </w:r>
      <w:r w:rsidR="002248A0">
        <w:rPr>
          <w:rFonts w:eastAsia="Times New Roman" w:cstheme="minorHAnsi"/>
          <w:sz w:val="24"/>
          <w:szCs w:val="24"/>
          <w:lang w:eastAsia="tr-TR"/>
        </w:rPr>
        <w:t>f</w:t>
      </w:r>
      <w:r>
        <w:rPr>
          <w:rFonts w:eastAsia="Times New Roman" w:cstheme="minorHAnsi"/>
          <w:sz w:val="24"/>
          <w:szCs w:val="24"/>
          <w:lang w:eastAsia="tr-TR"/>
        </w:rPr>
        <w:t xml:space="preserve">inansal </w:t>
      </w:r>
      <w:r w:rsidR="002248A0">
        <w:rPr>
          <w:rFonts w:eastAsia="Times New Roman" w:cstheme="minorHAnsi"/>
          <w:sz w:val="24"/>
          <w:szCs w:val="24"/>
          <w:lang w:eastAsia="tr-TR"/>
        </w:rPr>
        <w:t>b</w:t>
      </w:r>
      <w:r>
        <w:rPr>
          <w:rFonts w:eastAsia="Times New Roman" w:cstheme="minorHAnsi"/>
          <w:sz w:val="24"/>
          <w:szCs w:val="24"/>
          <w:lang w:eastAsia="tr-TR"/>
        </w:rPr>
        <w:t xml:space="preserve">ilgi </w:t>
      </w:r>
      <w:r w:rsidR="002248A0">
        <w:rPr>
          <w:rFonts w:eastAsia="Times New Roman" w:cstheme="minorHAnsi"/>
          <w:sz w:val="24"/>
          <w:szCs w:val="24"/>
          <w:lang w:eastAsia="tr-TR"/>
        </w:rPr>
        <w:t>f</w:t>
      </w:r>
      <w:r>
        <w:rPr>
          <w:rFonts w:eastAsia="Times New Roman" w:cstheme="minorHAnsi"/>
          <w:sz w:val="24"/>
          <w:szCs w:val="24"/>
          <w:lang w:eastAsia="tr-TR"/>
        </w:rPr>
        <w:t xml:space="preserve">ormlarını, temininden </w:t>
      </w:r>
      <w:r w:rsidR="004F4442">
        <w:rPr>
          <w:rFonts w:eastAsia="Times New Roman" w:cstheme="minorHAnsi"/>
          <w:sz w:val="24"/>
          <w:szCs w:val="24"/>
          <w:lang w:eastAsia="tr-TR"/>
        </w:rPr>
        <w:t xml:space="preserve">itibaren </w:t>
      </w:r>
      <w:r>
        <w:rPr>
          <w:rFonts w:eastAsia="Times New Roman" w:cstheme="minorHAnsi"/>
          <w:sz w:val="24"/>
          <w:szCs w:val="24"/>
          <w:lang w:eastAsia="tr-TR"/>
        </w:rPr>
        <w:t>en geç 15 gün içinde Genel Müdürlüğe sunar.</w:t>
      </w:r>
    </w:p>
    <w:p w14:paraId="575B52C8" w14:textId="5BD270B3" w:rsidR="005811B4" w:rsidRDefault="006A7079" w:rsidP="00762084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cstheme="minorHAnsi"/>
          <w:sz w:val="24"/>
          <w:szCs w:val="24"/>
        </w:rPr>
        <w:t xml:space="preserve">İzleme ve değerlendirme </w:t>
      </w:r>
      <w:r w:rsidR="00C27769" w:rsidRPr="00C27769">
        <w:rPr>
          <w:rFonts w:cstheme="minorHAnsi"/>
          <w:sz w:val="24"/>
          <w:szCs w:val="24"/>
        </w:rPr>
        <w:t>uygulaması</w:t>
      </w:r>
      <w:r w:rsidRPr="00C27769">
        <w:rPr>
          <w:rFonts w:cstheme="minorHAnsi"/>
          <w:sz w:val="24"/>
          <w:szCs w:val="24"/>
        </w:rPr>
        <w:t xml:space="preserve"> kapsamında destek başvurusundan bir önceki</w:t>
      </w:r>
      <w:r w:rsidR="005811B4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257C9" w:rsidRPr="00C27769">
        <w:rPr>
          <w:rFonts w:eastAsia="Times New Roman" w:cstheme="minorHAnsi"/>
          <w:sz w:val="24"/>
          <w:szCs w:val="24"/>
          <w:lang w:eastAsia="tr-TR"/>
        </w:rPr>
        <w:t xml:space="preserve">yılın </w:t>
      </w:r>
      <w:r w:rsidR="002F7A5C" w:rsidRPr="00C27769">
        <w:rPr>
          <w:rFonts w:eastAsia="Times New Roman" w:cstheme="minorHAnsi"/>
          <w:sz w:val="24"/>
          <w:szCs w:val="24"/>
          <w:lang w:eastAsia="tr-TR"/>
        </w:rPr>
        <w:t xml:space="preserve">hizmet ihracatı geliri ve mal ihracatı gelirinden oluşan </w:t>
      </w:r>
      <w:r w:rsidR="00C27769" w:rsidRPr="002F7A5C">
        <w:rPr>
          <w:rFonts w:eastAsia="Times New Roman" w:cstheme="minorHAnsi"/>
          <w:b/>
          <w:bCs/>
          <w:sz w:val="24"/>
          <w:szCs w:val="24"/>
          <w:lang w:eastAsia="tr-TR"/>
        </w:rPr>
        <w:t>toplam ihracat geliri</w:t>
      </w:r>
      <w:r w:rsidRPr="00C27769">
        <w:rPr>
          <w:rFonts w:cstheme="minorHAnsi"/>
          <w:sz w:val="24"/>
          <w:szCs w:val="24"/>
        </w:rPr>
        <w:t xml:space="preserve">, söz konusu yıldan önceki takvim yılında </w:t>
      </w:r>
      <w:r w:rsidRPr="004F4442">
        <w:rPr>
          <w:rFonts w:cstheme="minorHAnsi"/>
          <w:b/>
          <w:bCs/>
          <w:sz w:val="24"/>
          <w:szCs w:val="24"/>
        </w:rPr>
        <w:t>yararlanılan destek tutarı</w:t>
      </w:r>
      <w:r w:rsidRPr="00C27769">
        <w:rPr>
          <w:rFonts w:cstheme="minorHAnsi"/>
          <w:sz w:val="24"/>
          <w:szCs w:val="24"/>
        </w:rPr>
        <w:t xml:space="preserve"> ile karşılaştırılır</w:t>
      </w:r>
      <w:r w:rsidR="00762084" w:rsidRPr="00C27769">
        <w:rPr>
          <w:rFonts w:eastAsia="Times New Roman" w:cstheme="minorHAnsi"/>
          <w:sz w:val="24"/>
          <w:szCs w:val="24"/>
          <w:lang w:eastAsia="tr-TR"/>
        </w:rPr>
        <w:t>.</w:t>
      </w:r>
    </w:p>
    <w:p w14:paraId="3B8FD045" w14:textId="77777777" w:rsidR="00C27769" w:rsidRPr="00C27769" w:rsidRDefault="00C27769" w:rsidP="00C27769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C3F00E9" w14:textId="68DF5841" w:rsidR="00C27769" w:rsidRPr="00C27769" w:rsidRDefault="006A7079" w:rsidP="00762084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cstheme="minorHAnsi"/>
          <w:sz w:val="24"/>
          <w:szCs w:val="24"/>
        </w:rPr>
        <w:t xml:space="preserve">Yapılan karşılaştırma neticesinde </w:t>
      </w:r>
      <w:r w:rsidR="00C27769">
        <w:rPr>
          <w:rFonts w:cstheme="minorHAnsi"/>
          <w:sz w:val="24"/>
          <w:szCs w:val="24"/>
        </w:rPr>
        <w:t xml:space="preserve">toplam </w:t>
      </w:r>
      <w:r w:rsidR="005946A9" w:rsidRPr="00C27769">
        <w:rPr>
          <w:rFonts w:eastAsia="Times New Roman" w:cstheme="minorHAnsi"/>
          <w:sz w:val="24"/>
          <w:szCs w:val="24"/>
          <w:lang w:eastAsia="tr-TR"/>
        </w:rPr>
        <w:t>ihracat gelir</w:t>
      </w:r>
      <w:r w:rsidR="00C27769">
        <w:rPr>
          <w:rFonts w:eastAsia="Times New Roman" w:cstheme="minorHAnsi"/>
          <w:sz w:val="24"/>
          <w:szCs w:val="24"/>
          <w:lang w:eastAsia="tr-TR"/>
        </w:rPr>
        <w:t>inin</w:t>
      </w:r>
      <w:r w:rsidRPr="00C27769">
        <w:rPr>
          <w:rFonts w:cstheme="minorHAnsi"/>
          <w:sz w:val="24"/>
          <w:szCs w:val="24"/>
        </w:rPr>
        <w:t>,</w:t>
      </w:r>
      <w:r w:rsidR="00762084" w:rsidRPr="00C27769">
        <w:rPr>
          <w:rFonts w:eastAsia="Times New Roman" w:cstheme="minorHAnsi"/>
          <w:sz w:val="24"/>
          <w:szCs w:val="24"/>
          <w:lang w:eastAsia="tr-TR"/>
        </w:rPr>
        <w:t xml:space="preserve"> yararlanılan destek tutarının </w:t>
      </w:r>
      <w:r w:rsidR="00C27769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5</w:t>
      </w:r>
      <w:r w:rsidR="0076208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katı</w:t>
      </w:r>
      <w:r w:rsidR="00981538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ve üzerinde</w:t>
      </w:r>
      <w:r w:rsidR="0076208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olması</w:t>
      </w:r>
      <w:r w:rsidR="00762084" w:rsidRPr="00C27769">
        <w:rPr>
          <w:rFonts w:eastAsia="Times New Roman" w:cstheme="minorHAnsi"/>
          <w:sz w:val="24"/>
          <w:szCs w:val="24"/>
          <w:lang w:eastAsia="tr-TR"/>
        </w:rPr>
        <w:t xml:space="preserve"> durumunda </w:t>
      </w:r>
      <w:r w:rsidR="004F4442">
        <w:rPr>
          <w:rFonts w:cstheme="minorHAnsi"/>
          <w:sz w:val="24"/>
          <w:szCs w:val="24"/>
        </w:rPr>
        <w:t>mevzuatta</w:t>
      </w:r>
      <w:r w:rsidRPr="00C27769">
        <w:rPr>
          <w:rFonts w:cstheme="minorHAnsi"/>
          <w:sz w:val="24"/>
          <w:szCs w:val="24"/>
        </w:rPr>
        <w:t xml:space="preserve"> belirtilen destek oranları, herhangi bir indirim yapılmaksızın uygulanır.</w:t>
      </w:r>
    </w:p>
    <w:p w14:paraId="0812AC49" w14:textId="77777777" w:rsidR="00C27769" w:rsidRPr="00C27769" w:rsidRDefault="00C27769" w:rsidP="00C27769">
      <w:pPr>
        <w:pStyle w:val="ListeParagraf"/>
        <w:rPr>
          <w:rFonts w:eastAsia="Times New Roman" w:cstheme="minorHAnsi"/>
          <w:sz w:val="24"/>
          <w:szCs w:val="24"/>
          <w:lang w:eastAsia="tr-TR"/>
        </w:rPr>
      </w:pPr>
    </w:p>
    <w:p w14:paraId="579A1493" w14:textId="6844F92C" w:rsidR="004303DB" w:rsidRPr="00C27769" w:rsidRDefault="004303DB" w:rsidP="00B84527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>Karşılaştırma sonucunda</w:t>
      </w:r>
      <w:r w:rsidR="005946A9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27769">
        <w:rPr>
          <w:rFonts w:eastAsia="Times New Roman" w:cstheme="minorHAnsi"/>
          <w:sz w:val="24"/>
          <w:szCs w:val="24"/>
          <w:lang w:eastAsia="tr-TR"/>
        </w:rPr>
        <w:t xml:space="preserve">toplam </w:t>
      </w:r>
      <w:r w:rsidR="009435A6" w:rsidRPr="00C27769">
        <w:rPr>
          <w:rFonts w:eastAsia="Times New Roman" w:cstheme="minorHAnsi"/>
          <w:sz w:val="24"/>
          <w:szCs w:val="24"/>
          <w:lang w:eastAsia="tr-TR"/>
        </w:rPr>
        <w:t>ihracat geliri</w:t>
      </w:r>
      <w:r w:rsidR="00C27769">
        <w:rPr>
          <w:rFonts w:eastAsia="Times New Roman" w:cstheme="minorHAnsi"/>
          <w:sz w:val="24"/>
          <w:szCs w:val="24"/>
          <w:lang w:eastAsia="tr-TR"/>
        </w:rPr>
        <w:t>nin</w:t>
      </w:r>
      <w:r w:rsidR="005811B4" w:rsidRPr="00C27769">
        <w:rPr>
          <w:rFonts w:eastAsia="Times New Roman" w:cstheme="minorHAnsi"/>
          <w:sz w:val="24"/>
          <w:szCs w:val="24"/>
          <w:lang w:eastAsia="tr-TR"/>
        </w:rPr>
        <w:t>, yararlanılan destek tutarının;</w:t>
      </w:r>
    </w:p>
    <w:p w14:paraId="11B496D9" w14:textId="6E2EAD94" w:rsidR="004303DB" w:rsidRPr="00C27769" w:rsidRDefault="004303DB" w:rsidP="00EF1764">
      <w:pPr>
        <w:pStyle w:val="ListeParagraf"/>
        <w:spacing w:after="120" w:line="276" w:lineRule="auto"/>
        <w:ind w:left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 xml:space="preserve">(a) </w:t>
      </w:r>
      <w:r w:rsidR="00C27769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4</w:t>
      </w:r>
      <w:r w:rsidR="00433ED1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</w:t>
      </w:r>
      <w:r w:rsidR="00D83645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katı</w:t>
      </w:r>
      <w:r w:rsidR="0076208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ile </w:t>
      </w:r>
      <w:r w:rsidR="00C27769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5</w:t>
      </w:r>
      <w:r w:rsidR="0076208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katı</w:t>
      </w:r>
      <w:r w:rsidR="00433ED1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</w:t>
      </w:r>
      <w:r w:rsidR="0076208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arasında</w:t>
      </w:r>
      <w:r w:rsidR="00433ED1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olması</w:t>
      </w:r>
      <w:r w:rsidR="00433ED1" w:rsidRPr="00C27769">
        <w:rPr>
          <w:rFonts w:eastAsia="Times New Roman" w:cstheme="minorHAnsi"/>
          <w:sz w:val="24"/>
          <w:szCs w:val="24"/>
          <w:lang w:eastAsia="tr-TR"/>
        </w:rPr>
        <w:t xml:space="preserve"> durumunda </w:t>
      </w:r>
      <w:r w:rsidR="007B4035" w:rsidRPr="00C27769">
        <w:rPr>
          <w:rFonts w:eastAsia="Times New Roman" w:cstheme="minorHAnsi"/>
          <w:sz w:val="24"/>
          <w:szCs w:val="24"/>
          <w:lang w:eastAsia="tr-TR"/>
        </w:rPr>
        <w:t>10 puan</w:t>
      </w:r>
      <w:r w:rsidRPr="00C27769">
        <w:rPr>
          <w:rFonts w:eastAsia="Times New Roman" w:cstheme="minorHAnsi"/>
          <w:sz w:val="24"/>
          <w:szCs w:val="24"/>
          <w:lang w:eastAsia="tr-TR"/>
        </w:rPr>
        <w:t>,</w:t>
      </w:r>
    </w:p>
    <w:p w14:paraId="5805702C" w14:textId="620FE875" w:rsidR="00363B33" w:rsidRDefault="004303DB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 xml:space="preserve">     (b) </w:t>
      </w:r>
      <w:r w:rsidR="000C527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3 </w:t>
      </w:r>
      <w:r w:rsidR="00363B33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katı ile </w:t>
      </w:r>
      <w:r w:rsidR="000C5275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4</w:t>
      </w:r>
      <w:r w:rsidR="00363B33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katı arasında olması</w:t>
      </w:r>
      <w:r w:rsidR="00363B33" w:rsidRPr="00C27769">
        <w:rPr>
          <w:rFonts w:eastAsia="Times New Roman" w:cstheme="minorHAnsi"/>
          <w:sz w:val="24"/>
          <w:szCs w:val="24"/>
          <w:lang w:eastAsia="tr-TR"/>
        </w:rPr>
        <w:t xml:space="preserve"> durumunda </w:t>
      </w:r>
      <w:r w:rsidR="007B4035" w:rsidRPr="00C27769">
        <w:rPr>
          <w:rFonts w:eastAsia="Times New Roman" w:cstheme="minorHAnsi"/>
          <w:sz w:val="24"/>
          <w:szCs w:val="24"/>
          <w:lang w:eastAsia="tr-TR"/>
        </w:rPr>
        <w:t>20</w:t>
      </w:r>
      <w:r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B4035" w:rsidRPr="00C27769">
        <w:rPr>
          <w:rFonts w:eastAsia="Times New Roman" w:cstheme="minorHAnsi"/>
          <w:sz w:val="24"/>
          <w:szCs w:val="24"/>
          <w:lang w:eastAsia="tr-TR"/>
        </w:rPr>
        <w:t>puan</w:t>
      </w:r>
      <w:r w:rsidRPr="00C27769">
        <w:rPr>
          <w:rFonts w:eastAsia="Times New Roman" w:cstheme="minorHAnsi"/>
          <w:sz w:val="24"/>
          <w:szCs w:val="24"/>
          <w:lang w:eastAsia="tr-TR"/>
        </w:rPr>
        <w:t>,</w:t>
      </w:r>
    </w:p>
    <w:p w14:paraId="1755BC2E" w14:textId="2D834492" w:rsidR="000974B9" w:rsidRDefault="000974B9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(c) </w:t>
      </w:r>
      <w:r w:rsidRPr="000974B9">
        <w:rPr>
          <w:rFonts w:eastAsia="Times New Roman" w:cstheme="minorHAnsi"/>
          <w:b/>
          <w:sz w:val="24"/>
          <w:szCs w:val="24"/>
          <w:u w:val="single"/>
          <w:lang w:eastAsia="tr-TR"/>
        </w:rPr>
        <w:t>2 katı ile 3 katı arasında olması</w:t>
      </w:r>
      <w:r>
        <w:rPr>
          <w:rFonts w:eastAsia="Times New Roman" w:cstheme="minorHAnsi"/>
          <w:sz w:val="24"/>
          <w:szCs w:val="24"/>
          <w:lang w:eastAsia="tr-TR"/>
        </w:rPr>
        <w:t xml:space="preserve"> durumunda 30 puan,</w:t>
      </w:r>
    </w:p>
    <w:p w14:paraId="1FEA55A1" w14:textId="68304C00" w:rsidR="000974B9" w:rsidRPr="00C27769" w:rsidRDefault="000974B9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(</w:t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Pr="000974B9">
        <w:rPr>
          <w:rFonts w:eastAsia="Times New Roman" w:cstheme="minorHAnsi"/>
          <w:b/>
          <w:sz w:val="24"/>
          <w:szCs w:val="24"/>
          <w:u w:val="single"/>
          <w:lang w:eastAsia="tr-TR"/>
        </w:rPr>
        <w:t>1 katı ile 2 katı arasında olması</w:t>
      </w:r>
      <w:r>
        <w:rPr>
          <w:rFonts w:eastAsia="Times New Roman" w:cstheme="minorHAnsi"/>
          <w:sz w:val="24"/>
          <w:szCs w:val="24"/>
          <w:lang w:eastAsia="tr-TR"/>
        </w:rPr>
        <w:t xml:space="preserve"> durumunda 40 puan,</w:t>
      </w:r>
    </w:p>
    <w:p w14:paraId="17E152A4" w14:textId="5D754DCC" w:rsidR="005811B4" w:rsidRPr="00C27769" w:rsidRDefault="004754CB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 xml:space="preserve">     (</w:t>
      </w:r>
      <w:r w:rsidR="000974B9">
        <w:rPr>
          <w:rFonts w:eastAsia="Times New Roman" w:cstheme="minorHAnsi"/>
          <w:sz w:val="24"/>
          <w:szCs w:val="24"/>
          <w:lang w:eastAsia="tr-TR"/>
        </w:rPr>
        <w:t>d</w:t>
      </w:r>
      <w:r w:rsidRPr="00C27769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5811B4" w:rsidRPr="00C2776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altında olması</w:t>
      </w:r>
      <w:r w:rsidR="005811B4" w:rsidRPr="00C27769">
        <w:rPr>
          <w:rFonts w:eastAsia="Times New Roman" w:cstheme="minorHAnsi"/>
          <w:sz w:val="24"/>
          <w:szCs w:val="24"/>
          <w:lang w:eastAsia="tr-TR"/>
        </w:rPr>
        <w:t xml:space="preserve"> halinde</w:t>
      </w:r>
      <w:r w:rsidR="0029577A"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0974B9">
        <w:rPr>
          <w:rFonts w:eastAsia="Times New Roman" w:cstheme="minorHAnsi"/>
          <w:sz w:val="24"/>
          <w:szCs w:val="24"/>
          <w:lang w:eastAsia="tr-TR"/>
        </w:rPr>
        <w:t>5</w:t>
      </w:r>
      <w:r w:rsidR="007B4035" w:rsidRPr="00C27769">
        <w:rPr>
          <w:rFonts w:eastAsia="Times New Roman" w:cstheme="minorHAnsi"/>
          <w:sz w:val="24"/>
          <w:szCs w:val="24"/>
          <w:lang w:eastAsia="tr-TR"/>
        </w:rPr>
        <w:t>0</w:t>
      </w:r>
      <w:r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B4035" w:rsidRPr="00C27769">
        <w:rPr>
          <w:rFonts w:eastAsia="Times New Roman" w:cstheme="minorHAnsi"/>
          <w:sz w:val="24"/>
          <w:szCs w:val="24"/>
          <w:lang w:eastAsia="tr-TR"/>
        </w:rPr>
        <w:t>puan</w:t>
      </w:r>
      <w:r w:rsidR="005811B4" w:rsidRPr="00C27769">
        <w:rPr>
          <w:rFonts w:eastAsia="Times New Roman" w:cstheme="minorHAnsi"/>
          <w:sz w:val="24"/>
          <w:szCs w:val="24"/>
          <w:lang w:eastAsia="tr-TR"/>
        </w:rPr>
        <w:t>,</w:t>
      </w:r>
    </w:p>
    <w:p w14:paraId="76A89BC1" w14:textId="1A4E1B0E" w:rsidR="00433ED1" w:rsidRDefault="004754CB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  <w:r w:rsidRPr="00C27769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gramStart"/>
      <w:r w:rsidRPr="00C27769">
        <w:rPr>
          <w:rFonts w:eastAsia="Times New Roman" w:cstheme="minorHAnsi"/>
          <w:sz w:val="24"/>
          <w:szCs w:val="24"/>
          <w:lang w:eastAsia="tr-TR"/>
        </w:rPr>
        <w:t>destek</w:t>
      </w:r>
      <w:proofErr w:type="gramEnd"/>
      <w:r w:rsidRPr="00C27769">
        <w:rPr>
          <w:rFonts w:eastAsia="Times New Roman" w:cstheme="minorHAnsi"/>
          <w:sz w:val="24"/>
          <w:szCs w:val="24"/>
          <w:lang w:eastAsia="tr-TR"/>
        </w:rPr>
        <w:t xml:space="preserve"> oranlarından indirilir.</w:t>
      </w:r>
    </w:p>
    <w:p w14:paraId="4170B2DD" w14:textId="77777777" w:rsidR="000C5275" w:rsidRPr="00C27769" w:rsidRDefault="000C5275" w:rsidP="00EF1764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76A7C16F" w14:textId="797F654E" w:rsidR="004754CB" w:rsidRPr="000879AC" w:rsidRDefault="004F4442" w:rsidP="00EF1764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cstheme="minorHAnsi"/>
          <w:sz w:val="24"/>
          <w:szCs w:val="24"/>
        </w:rPr>
        <w:t xml:space="preserve">Mevzuatta belirtilen destek oranında yapılan değişiklikler, 1.1.2024 tarihinden sonra gerçekleştirilen ve ilgili performans izleme ve değerlendirme uygulamasının yapıldığı tarih </w:t>
      </w:r>
      <w:proofErr w:type="gramStart"/>
      <w:r>
        <w:rPr>
          <w:rFonts w:cstheme="minorHAnsi"/>
          <w:sz w:val="24"/>
          <w:szCs w:val="24"/>
        </w:rPr>
        <w:t>itibariyle</w:t>
      </w:r>
      <w:proofErr w:type="gramEnd"/>
      <w:r>
        <w:rPr>
          <w:rFonts w:cstheme="minorHAnsi"/>
          <w:sz w:val="24"/>
          <w:szCs w:val="24"/>
        </w:rPr>
        <w:t xml:space="preserve"> henüz sonuçlandırılmamış tüm destek başvurularına uygulanır.</w:t>
      </w:r>
    </w:p>
    <w:p w14:paraId="24077001" w14:textId="77777777" w:rsidR="000879AC" w:rsidRPr="00C27769" w:rsidRDefault="000879AC" w:rsidP="000879AC">
      <w:pPr>
        <w:pStyle w:val="ListeParagraf"/>
        <w:spacing w:after="120" w:line="276" w:lineRule="auto"/>
        <w:ind w:left="284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7B71A55A" w14:textId="5A66C8F7" w:rsidR="004754CB" w:rsidRPr="000879AC" w:rsidRDefault="005811B4" w:rsidP="00EF1764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bookmarkStart w:id="1" w:name="_GoBack"/>
      <w:r w:rsidRPr="00C27769">
        <w:rPr>
          <w:rFonts w:cstheme="minorHAnsi"/>
          <w:sz w:val="24"/>
          <w:szCs w:val="24"/>
        </w:rPr>
        <w:t>Üçüncü</w:t>
      </w:r>
      <w:r w:rsidR="004754CB" w:rsidRPr="00C27769">
        <w:rPr>
          <w:rFonts w:cstheme="minorHAnsi"/>
          <w:sz w:val="24"/>
          <w:szCs w:val="24"/>
        </w:rPr>
        <w:t xml:space="preserve"> </w:t>
      </w:r>
      <w:r w:rsidR="002B79AA" w:rsidRPr="00C27769">
        <w:rPr>
          <w:rFonts w:cstheme="minorHAnsi"/>
          <w:sz w:val="24"/>
          <w:szCs w:val="24"/>
        </w:rPr>
        <w:t>maddenin</w:t>
      </w:r>
      <w:r w:rsidR="004754CB" w:rsidRPr="00C27769">
        <w:rPr>
          <w:rFonts w:cstheme="minorHAnsi"/>
          <w:sz w:val="24"/>
          <w:szCs w:val="24"/>
        </w:rPr>
        <w:t xml:space="preserve"> (</w:t>
      </w:r>
      <w:r w:rsidR="000974B9">
        <w:rPr>
          <w:rFonts w:cstheme="minorHAnsi"/>
          <w:sz w:val="24"/>
          <w:szCs w:val="24"/>
        </w:rPr>
        <w:t>d</w:t>
      </w:r>
      <w:r w:rsidR="004754CB" w:rsidRPr="00C27769">
        <w:rPr>
          <w:rFonts w:cstheme="minorHAnsi"/>
          <w:sz w:val="24"/>
          <w:szCs w:val="24"/>
        </w:rPr>
        <w:t xml:space="preserve">) </w:t>
      </w:r>
      <w:r w:rsidR="002B79AA" w:rsidRPr="00C27769">
        <w:rPr>
          <w:rFonts w:cstheme="minorHAnsi"/>
          <w:sz w:val="24"/>
          <w:szCs w:val="24"/>
        </w:rPr>
        <w:t>fıkrası</w:t>
      </w:r>
      <w:r w:rsidR="004754CB" w:rsidRPr="00C27769">
        <w:rPr>
          <w:rFonts w:cstheme="minorHAnsi"/>
          <w:sz w:val="24"/>
          <w:szCs w:val="24"/>
        </w:rPr>
        <w:t xml:space="preserve"> kapsamındaki durumun birbirini izleyen </w:t>
      </w:r>
      <w:r w:rsidR="00CF540D">
        <w:rPr>
          <w:rFonts w:cstheme="minorHAnsi"/>
          <w:sz w:val="24"/>
          <w:szCs w:val="24"/>
        </w:rPr>
        <w:t>2</w:t>
      </w:r>
      <w:r w:rsidR="004754CB" w:rsidRPr="00C27769">
        <w:rPr>
          <w:rFonts w:cstheme="minorHAnsi"/>
          <w:sz w:val="24"/>
          <w:szCs w:val="24"/>
        </w:rPr>
        <w:t xml:space="preserve"> yılda gerçekleşmesi halinde şirket destek programı kapsamında yeni başvuru yapamaz ve mevcut destek başvuruları reddedilir.</w:t>
      </w:r>
    </w:p>
    <w:bookmarkEnd w:id="1"/>
    <w:p w14:paraId="36A6339F" w14:textId="77777777" w:rsidR="000879AC" w:rsidRPr="000879AC" w:rsidRDefault="000879AC" w:rsidP="000879AC">
      <w:pPr>
        <w:pStyle w:val="ListeParagraf"/>
        <w:rPr>
          <w:rFonts w:eastAsia="Times New Roman" w:cstheme="minorHAnsi"/>
          <w:sz w:val="24"/>
          <w:szCs w:val="24"/>
          <w:lang w:eastAsia="tr-TR"/>
        </w:rPr>
      </w:pPr>
    </w:p>
    <w:p w14:paraId="063503E0" w14:textId="3F2D2279" w:rsidR="00CD2633" w:rsidRPr="00D02ED1" w:rsidRDefault="00397BA1" w:rsidP="00DA572F">
      <w:pPr>
        <w:pStyle w:val="ListeParagraf"/>
        <w:numPr>
          <w:ilvl w:val="0"/>
          <w:numId w:val="4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02ED1">
        <w:rPr>
          <w:rFonts w:eastAsia="Times New Roman" w:cstheme="minorHAnsi"/>
          <w:sz w:val="24"/>
          <w:szCs w:val="24"/>
          <w:lang w:eastAsia="tr-TR"/>
        </w:rPr>
        <w:t>Beşinci</w:t>
      </w:r>
      <w:r w:rsidR="004754CB" w:rsidRPr="00D02ED1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B79AA" w:rsidRPr="00D02ED1">
        <w:rPr>
          <w:rFonts w:eastAsia="Times New Roman" w:cstheme="minorHAnsi"/>
          <w:sz w:val="24"/>
          <w:szCs w:val="24"/>
          <w:lang w:eastAsia="tr-TR"/>
        </w:rPr>
        <w:t>madde</w:t>
      </w:r>
      <w:r w:rsidR="004754CB" w:rsidRPr="00D02ED1">
        <w:rPr>
          <w:rFonts w:eastAsia="Times New Roman" w:cstheme="minorHAnsi"/>
          <w:sz w:val="24"/>
          <w:szCs w:val="24"/>
          <w:lang w:eastAsia="tr-TR"/>
        </w:rPr>
        <w:t xml:space="preserve"> uyarınca destek başvurusu yapma hakkı bulunmayan şirket</w:t>
      </w:r>
      <w:r w:rsidR="00D263EE" w:rsidRPr="00D02ED1">
        <w:rPr>
          <w:rFonts w:eastAsia="Times New Roman" w:cstheme="minorHAnsi"/>
          <w:sz w:val="24"/>
          <w:szCs w:val="24"/>
          <w:lang w:eastAsia="tr-TR"/>
        </w:rPr>
        <w:t xml:space="preserve">in </w:t>
      </w:r>
      <w:r w:rsidR="00CD2633" w:rsidRPr="00D02ED1">
        <w:rPr>
          <w:rFonts w:eastAsia="Times New Roman" w:cstheme="minorHAnsi"/>
          <w:sz w:val="24"/>
          <w:szCs w:val="24"/>
          <w:lang w:eastAsia="tr-TR"/>
        </w:rPr>
        <w:t xml:space="preserve">yılık </w:t>
      </w:r>
      <w:r w:rsidR="00CF540D" w:rsidRPr="00D02ED1">
        <w:rPr>
          <w:rFonts w:eastAsia="Times New Roman" w:cstheme="minorHAnsi"/>
          <w:sz w:val="24"/>
          <w:szCs w:val="24"/>
          <w:lang w:eastAsia="tr-TR"/>
        </w:rPr>
        <w:t>toplam ihracat gelir</w:t>
      </w:r>
      <w:r w:rsidR="002F7A5C" w:rsidRPr="00D02ED1">
        <w:rPr>
          <w:rFonts w:eastAsia="Times New Roman" w:cstheme="minorHAnsi"/>
          <w:sz w:val="24"/>
          <w:szCs w:val="24"/>
          <w:lang w:eastAsia="tr-TR"/>
        </w:rPr>
        <w:t>i</w:t>
      </w:r>
      <w:r w:rsidR="00CF540D" w:rsidRPr="00D02ED1">
        <w:rPr>
          <w:rFonts w:eastAsia="Times New Roman" w:cstheme="minorHAnsi"/>
          <w:sz w:val="24"/>
          <w:szCs w:val="24"/>
          <w:lang w:eastAsia="tr-TR"/>
        </w:rPr>
        <w:t>nin, beşinci madde</w:t>
      </w:r>
      <w:r w:rsidR="00CF540D" w:rsidRPr="00D02ED1">
        <w:rPr>
          <w:rFonts w:cstheme="minorHAnsi"/>
          <w:sz w:val="24"/>
          <w:szCs w:val="24"/>
        </w:rPr>
        <w:t xml:space="preserve">de düzenlenen işlemin tesis edildiği yıldan </w:t>
      </w:r>
      <w:r w:rsidR="00CD2633" w:rsidRPr="00D02ED1">
        <w:rPr>
          <w:rFonts w:eastAsia="Times New Roman" w:cstheme="minorHAnsi"/>
          <w:sz w:val="24"/>
          <w:szCs w:val="24"/>
          <w:lang w:eastAsia="tr-TR"/>
        </w:rPr>
        <w:t>önce</w:t>
      </w:r>
      <w:r w:rsidR="00CF540D" w:rsidRPr="00D02ED1">
        <w:rPr>
          <w:rFonts w:eastAsia="Times New Roman" w:cstheme="minorHAnsi"/>
          <w:sz w:val="24"/>
          <w:szCs w:val="24"/>
          <w:lang w:eastAsia="tr-TR"/>
        </w:rPr>
        <w:t>ki</w:t>
      </w:r>
      <w:r w:rsidR="00CD2633" w:rsidRPr="00D02ED1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B84527" w:rsidRPr="00D02ED1">
        <w:rPr>
          <w:rFonts w:cstheme="minorHAnsi"/>
          <w:sz w:val="24"/>
          <w:szCs w:val="24"/>
        </w:rPr>
        <w:t>3 yıllık dönemde faydalan</w:t>
      </w:r>
      <w:r w:rsidR="00D02ED1" w:rsidRPr="00D02ED1">
        <w:rPr>
          <w:rFonts w:cstheme="minorHAnsi"/>
          <w:sz w:val="24"/>
          <w:szCs w:val="24"/>
        </w:rPr>
        <w:t>ılan</w:t>
      </w:r>
      <w:r w:rsidR="00B84527" w:rsidRPr="00D02ED1">
        <w:rPr>
          <w:rFonts w:cstheme="minorHAnsi"/>
          <w:sz w:val="24"/>
          <w:szCs w:val="24"/>
        </w:rPr>
        <w:t xml:space="preserve"> destek tutarından fazla olduğunun</w:t>
      </w:r>
      <w:r w:rsidR="00D02ED1" w:rsidRPr="00D02ED1">
        <w:rPr>
          <w:rFonts w:cstheme="minorHAnsi"/>
          <w:sz w:val="24"/>
          <w:szCs w:val="24"/>
        </w:rPr>
        <w:t>,</w:t>
      </w:r>
      <w:r w:rsidR="00D263EE" w:rsidRPr="00D02ED1">
        <w:rPr>
          <w:rFonts w:cstheme="minorHAnsi"/>
          <w:sz w:val="24"/>
          <w:szCs w:val="24"/>
        </w:rPr>
        <w:t xml:space="preserve"> söz konusu şirketin </w:t>
      </w:r>
      <w:r w:rsidR="00D263EE" w:rsidRPr="00D02ED1">
        <w:rPr>
          <w:rFonts w:eastAsia="Times New Roman" w:cstheme="minorHAnsi"/>
          <w:sz w:val="24"/>
          <w:szCs w:val="24"/>
          <w:lang w:eastAsia="tr-TR"/>
        </w:rPr>
        <w:t xml:space="preserve">yapacağı </w:t>
      </w:r>
      <w:r w:rsidR="00D263EE" w:rsidRPr="00D02ED1">
        <w:rPr>
          <w:rFonts w:eastAsia="Times New Roman" w:cstheme="minorHAnsi"/>
          <w:sz w:val="24"/>
          <w:szCs w:val="24"/>
          <w:lang w:eastAsia="tr-TR"/>
        </w:rPr>
        <w:lastRenderedPageBreak/>
        <w:t xml:space="preserve">başvuru üzerine </w:t>
      </w:r>
      <w:r w:rsidR="00B84527" w:rsidRPr="00D02ED1">
        <w:rPr>
          <w:rFonts w:cstheme="minorHAnsi"/>
          <w:sz w:val="24"/>
          <w:szCs w:val="24"/>
        </w:rPr>
        <w:t>tespiti halinde</w:t>
      </w:r>
      <w:r w:rsidR="00D02ED1" w:rsidRPr="00D02ED1">
        <w:rPr>
          <w:rFonts w:eastAsia="Times New Roman" w:cstheme="minorHAnsi"/>
          <w:sz w:val="24"/>
          <w:szCs w:val="24"/>
          <w:lang w:eastAsia="tr-TR"/>
        </w:rPr>
        <w:t>;</w:t>
      </w:r>
      <w:r w:rsidR="002F7A5C" w:rsidRPr="00D02ED1">
        <w:rPr>
          <w:rFonts w:eastAsia="Times New Roman" w:cstheme="minorHAnsi"/>
          <w:sz w:val="24"/>
          <w:szCs w:val="24"/>
          <w:lang w:eastAsia="tr-TR"/>
        </w:rPr>
        <w:t xml:space="preserve"> bu uygulama metninde belirle</w:t>
      </w:r>
      <w:r w:rsidR="00B84527" w:rsidRPr="00D02ED1">
        <w:rPr>
          <w:rFonts w:cstheme="minorHAnsi"/>
          <w:sz w:val="24"/>
          <w:szCs w:val="24"/>
        </w:rPr>
        <w:t>nen esaslar çerçevesinde</w:t>
      </w:r>
      <w:r w:rsidR="002B79AA" w:rsidRPr="00D02ED1">
        <w:rPr>
          <w:rFonts w:cstheme="minorHAnsi"/>
          <w:sz w:val="24"/>
          <w:szCs w:val="24"/>
        </w:rPr>
        <w:t xml:space="preserve"> yeniden destek programından yararlan</w:t>
      </w:r>
      <w:r w:rsidR="001374B7">
        <w:rPr>
          <w:rFonts w:cstheme="minorHAnsi"/>
          <w:sz w:val="24"/>
          <w:szCs w:val="24"/>
        </w:rPr>
        <w:t>maya devam edebilir.</w:t>
      </w:r>
    </w:p>
    <w:sectPr w:rsidR="00CD2633" w:rsidRPr="00D02ED1" w:rsidSect="007B18AD">
      <w:headerReference w:type="default" r:id="rId7"/>
      <w:footerReference w:type="default" r:id="rId8"/>
      <w:footerReference w:type="first" r:id="rId9"/>
      <w:pgSz w:w="11906" w:h="16838"/>
      <w:pgMar w:top="567" w:right="1416" w:bottom="426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B7E4C" w14:textId="77777777" w:rsidR="002A5DC3" w:rsidRDefault="002A5DC3" w:rsidP="00FA1F05">
      <w:pPr>
        <w:spacing w:after="0" w:line="240" w:lineRule="auto"/>
      </w:pPr>
      <w:r>
        <w:separator/>
      </w:r>
    </w:p>
  </w:endnote>
  <w:endnote w:type="continuationSeparator" w:id="0">
    <w:p w14:paraId="7991530F" w14:textId="77777777" w:rsidR="002A5DC3" w:rsidRDefault="002A5DC3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642356"/>
      <w:docPartObj>
        <w:docPartGallery w:val="Page Numbers (Bottom of Page)"/>
        <w:docPartUnique/>
      </w:docPartObj>
    </w:sdtPr>
    <w:sdtEndPr/>
    <w:sdtContent>
      <w:p w14:paraId="4F87F5EC" w14:textId="42319CE6" w:rsidR="006F7B8F" w:rsidRDefault="006F7B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F52C6" w14:textId="64EF687A" w:rsidR="008F3741" w:rsidRDefault="008F3741" w:rsidP="000B3B78">
    <w:pPr>
      <w:spacing w:after="120" w:line="240" w:lineRule="auto"/>
      <w:ind w:hanging="255"/>
      <w:jc w:val="cen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35C2" w14:textId="638D2C10" w:rsidR="009A248E" w:rsidRPr="0006266A" w:rsidRDefault="009A248E" w:rsidP="0006266A">
    <w:pPr>
      <w:ind w:hanging="254"/>
      <w:jc w:val="center"/>
      <w:rPr>
        <w:color w:val="002060"/>
        <w:sz w:val="20"/>
        <w:szCs w:val="20"/>
      </w:rPr>
    </w:pPr>
    <w:r w:rsidRPr="00A94F7A">
      <w:rPr>
        <w:b/>
        <w:bCs/>
        <w:color w:val="002060"/>
        <w:sz w:val="20"/>
        <w:szCs w:val="20"/>
      </w:rPr>
      <w:t xml:space="preserve">EK </w:t>
    </w:r>
    <w:proofErr w:type="spellStart"/>
    <w:r>
      <w:rPr>
        <w:b/>
        <w:bCs/>
        <w:color w:val="002060"/>
        <w:sz w:val="20"/>
        <w:szCs w:val="20"/>
      </w:rPr>
      <w:t>izlemeDegerlendirme</w:t>
    </w:r>
    <w:proofErr w:type="spellEnd"/>
    <w:r w:rsidRPr="00A94F7A">
      <w:rPr>
        <w:rFonts w:cstheme="minorHAnsi"/>
        <w:bCs/>
        <w:color w:val="002060"/>
        <w:sz w:val="20"/>
        <w:szCs w:val="20"/>
      </w:rPr>
      <w:t xml:space="preserve"> | T.C. TİCARET BAKANLIĞI | </w:t>
    </w:r>
    <w:r>
      <w:rPr>
        <w:rFonts w:cstheme="minorHAnsi"/>
        <w:bCs/>
        <w:color w:val="002060"/>
        <w:sz w:val="20"/>
        <w:szCs w:val="20"/>
      </w:rPr>
      <w:t>ULUSLARARASI HİZMET TİCARETİ GENEL MÜDÜRLÜĞÜ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EFCB3" w14:textId="77777777" w:rsidR="002A5DC3" w:rsidRDefault="002A5DC3" w:rsidP="00FA1F05">
      <w:pPr>
        <w:spacing w:after="0" w:line="240" w:lineRule="auto"/>
      </w:pPr>
      <w:r>
        <w:separator/>
      </w:r>
    </w:p>
  </w:footnote>
  <w:footnote w:type="continuationSeparator" w:id="0">
    <w:p w14:paraId="42A4E172" w14:textId="77777777" w:rsidR="002A5DC3" w:rsidRDefault="002A5DC3" w:rsidP="00F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9065" w14:textId="17814BD2" w:rsidR="00B45854" w:rsidRPr="00B45854" w:rsidRDefault="00B45854" w:rsidP="00EF1764">
    <w:pPr>
      <w:pStyle w:val="stBilgi"/>
      <w:pBdr>
        <w:bottom w:val="single" w:sz="4" w:space="0" w:color="auto"/>
      </w:pBdr>
      <w:spacing w:after="240"/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</w:pPr>
    <w:bookmarkStart w:id="2" w:name="_Hlk154483402"/>
    <w:bookmarkStart w:id="3" w:name="_Hlk154483438"/>
    <w:bookmarkStart w:id="4" w:name="_Hlk154483439"/>
    <w:bookmarkStart w:id="5" w:name="_Hlk154500038"/>
    <w:bookmarkStart w:id="6" w:name="_Hlk154500039"/>
    <w:bookmarkStart w:id="7" w:name="_Hlk154503648"/>
    <w:bookmarkStart w:id="8" w:name="_Hlk154503649"/>
    <w:bookmarkStart w:id="9" w:name="_Hlk154507342"/>
    <w:bookmarkStart w:id="10" w:name="_Hlk154507343"/>
    <w:bookmarkStart w:id="11" w:name="_Hlk161239077"/>
    <w:bookmarkStart w:id="12" w:name="_Hlk161239078"/>
    <w:r w:rsidRPr="00154FEC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5447 sayılı Türkiye Bilişim Sektörünün Uluslararasılaşması ve E-Turquality (Bilişimin Yıldızları) Programı Hakkında Karar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154FEC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ın Uygulama Usul ve Esaslarına İlişkin Genelge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7B4"/>
    <w:multiLevelType w:val="hybridMultilevel"/>
    <w:tmpl w:val="9E9AFF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7526"/>
    <w:multiLevelType w:val="hybridMultilevel"/>
    <w:tmpl w:val="E2521FD6"/>
    <w:lvl w:ilvl="0" w:tplc="6568AEF2">
      <w:start w:val="2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3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2D1"/>
    <w:multiLevelType w:val="hybridMultilevel"/>
    <w:tmpl w:val="09462D1A"/>
    <w:lvl w:ilvl="0" w:tplc="1506E7CC">
      <w:start w:val="1"/>
      <w:numFmt w:val="lowerLetter"/>
      <w:lvlText w:val="(%1)"/>
      <w:lvlJc w:val="left"/>
      <w:pPr>
        <w:ind w:left="705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6B0C7D"/>
    <w:multiLevelType w:val="hybridMultilevel"/>
    <w:tmpl w:val="6D721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57E96"/>
    <w:multiLevelType w:val="hybridMultilevel"/>
    <w:tmpl w:val="83CCCD22"/>
    <w:lvl w:ilvl="0" w:tplc="FFFFFFFF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F299A"/>
    <w:multiLevelType w:val="hybridMultilevel"/>
    <w:tmpl w:val="84063842"/>
    <w:lvl w:ilvl="0" w:tplc="4F248F4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4" w15:restartNumberingAfterBreak="0">
    <w:nsid w:val="793942CA"/>
    <w:multiLevelType w:val="hybridMultilevel"/>
    <w:tmpl w:val="FA869364"/>
    <w:lvl w:ilvl="0" w:tplc="66288D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3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4" w:hanging="360"/>
      </w:pPr>
    </w:lvl>
    <w:lvl w:ilvl="2" w:tplc="041F001B" w:tentative="1">
      <w:start w:val="1"/>
      <w:numFmt w:val="lowerRoman"/>
      <w:lvlText w:val="%3."/>
      <w:lvlJc w:val="right"/>
      <w:pPr>
        <w:ind w:left="2764" w:hanging="180"/>
      </w:pPr>
    </w:lvl>
    <w:lvl w:ilvl="3" w:tplc="041F000F" w:tentative="1">
      <w:start w:val="1"/>
      <w:numFmt w:val="decimal"/>
      <w:lvlText w:val="%4."/>
      <w:lvlJc w:val="left"/>
      <w:pPr>
        <w:ind w:left="3484" w:hanging="360"/>
      </w:pPr>
    </w:lvl>
    <w:lvl w:ilvl="4" w:tplc="041F0019" w:tentative="1">
      <w:start w:val="1"/>
      <w:numFmt w:val="lowerLetter"/>
      <w:lvlText w:val="%5."/>
      <w:lvlJc w:val="left"/>
      <w:pPr>
        <w:ind w:left="4204" w:hanging="360"/>
      </w:pPr>
    </w:lvl>
    <w:lvl w:ilvl="5" w:tplc="041F001B" w:tentative="1">
      <w:start w:val="1"/>
      <w:numFmt w:val="lowerRoman"/>
      <w:lvlText w:val="%6."/>
      <w:lvlJc w:val="right"/>
      <w:pPr>
        <w:ind w:left="4924" w:hanging="180"/>
      </w:pPr>
    </w:lvl>
    <w:lvl w:ilvl="6" w:tplc="041F000F" w:tentative="1">
      <w:start w:val="1"/>
      <w:numFmt w:val="decimal"/>
      <w:lvlText w:val="%7."/>
      <w:lvlJc w:val="left"/>
      <w:pPr>
        <w:ind w:left="5644" w:hanging="360"/>
      </w:pPr>
    </w:lvl>
    <w:lvl w:ilvl="7" w:tplc="041F0019" w:tentative="1">
      <w:start w:val="1"/>
      <w:numFmt w:val="lowerLetter"/>
      <w:lvlText w:val="%8."/>
      <w:lvlJc w:val="left"/>
      <w:pPr>
        <w:ind w:left="6364" w:hanging="360"/>
      </w:pPr>
    </w:lvl>
    <w:lvl w:ilvl="8" w:tplc="041F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5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A6270"/>
    <w:multiLevelType w:val="hybridMultilevel"/>
    <w:tmpl w:val="B1AA57BE"/>
    <w:lvl w:ilvl="0" w:tplc="8B26B5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45E7E"/>
    <w:multiLevelType w:val="hybridMultilevel"/>
    <w:tmpl w:val="4978CFD2"/>
    <w:lvl w:ilvl="0" w:tplc="0F80263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66288D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."/>
      <w:lvlJc w:val="left"/>
      <w:pPr>
        <w:ind w:left="1327" w:hanging="363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25"/>
  </w:num>
  <w:num w:numId="5">
    <w:abstractNumId w:val="3"/>
  </w:num>
  <w:num w:numId="6">
    <w:abstractNumId w:val="23"/>
  </w:num>
  <w:num w:numId="7">
    <w:abstractNumId w:val="37"/>
  </w:num>
  <w:num w:numId="8">
    <w:abstractNumId w:val="7"/>
  </w:num>
  <w:num w:numId="9">
    <w:abstractNumId w:val="26"/>
  </w:num>
  <w:num w:numId="10">
    <w:abstractNumId w:val="17"/>
  </w:num>
  <w:num w:numId="11">
    <w:abstractNumId w:val="1"/>
  </w:num>
  <w:num w:numId="12">
    <w:abstractNumId w:val="27"/>
  </w:num>
  <w:num w:numId="13">
    <w:abstractNumId w:val="13"/>
  </w:num>
  <w:num w:numId="14">
    <w:abstractNumId w:val="19"/>
  </w:num>
  <w:num w:numId="15">
    <w:abstractNumId w:val="2"/>
  </w:num>
  <w:num w:numId="16">
    <w:abstractNumId w:val="30"/>
  </w:num>
  <w:num w:numId="17">
    <w:abstractNumId w:val="39"/>
  </w:num>
  <w:num w:numId="18">
    <w:abstractNumId w:val="28"/>
  </w:num>
  <w:num w:numId="19">
    <w:abstractNumId w:val="6"/>
  </w:num>
  <w:num w:numId="20">
    <w:abstractNumId w:val="12"/>
  </w:num>
  <w:num w:numId="21">
    <w:abstractNumId w:val="8"/>
  </w:num>
  <w:num w:numId="22">
    <w:abstractNumId w:val="15"/>
  </w:num>
  <w:num w:numId="23">
    <w:abstractNumId w:val="4"/>
  </w:num>
  <w:num w:numId="24">
    <w:abstractNumId w:val="35"/>
  </w:num>
  <w:num w:numId="25">
    <w:abstractNumId w:val="5"/>
  </w:num>
  <w:num w:numId="26">
    <w:abstractNumId w:val="11"/>
  </w:num>
  <w:num w:numId="27">
    <w:abstractNumId w:val="31"/>
  </w:num>
  <w:num w:numId="28">
    <w:abstractNumId w:val="21"/>
  </w:num>
  <w:num w:numId="29">
    <w:abstractNumId w:val="29"/>
  </w:num>
  <w:num w:numId="30">
    <w:abstractNumId w:val="16"/>
  </w:num>
  <w:num w:numId="31">
    <w:abstractNumId w:val="33"/>
  </w:num>
  <w:num w:numId="32">
    <w:abstractNumId w:val="18"/>
  </w:num>
  <w:num w:numId="33">
    <w:abstractNumId w:val="10"/>
  </w:num>
  <w:num w:numId="34">
    <w:abstractNumId w:val="0"/>
  </w:num>
  <w:num w:numId="35">
    <w:abstractNumId w:val="24"/>
  </w:num>
  <w:num w:numId="36">
    <w:abstractNumId w:val="38"/>
  </w:num>
  <w:num w:numId="37">
    <w:abstractNumId w:val="34"/>
  </w:num>
  <w:num w:numId="38">
    <w:abstractNumId w:val="9"/>
  </w:num>
  <w:num w:numId="39">
    <w:abstractNumId w:val="3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5488B"/>
    <w:rsid w:val="00061AB2"/>
    <w:rsid w:val="0006266A"/>
    <w:rsid w:val="00063886"/>
    <w:rsid w:val="00071A18"/>
    <w:rsid w:val="00071EDF"/>
    <w:rsid w:val="0007648E"/>
    <w:rsid w:val="000879AC"/>
    <w:rsid w:val="000974B9"/>
    <w:rsid w:val="000A1418"/>
    <w:rsid w:val="000A3BB2"/>
    <w:rsid w:val="000B0C48"/>
    <w:rsid w:val="000B15A8"/>
    <w:rsid w:val="000B3B78"/>
    <w:rsid w:val="000B60EA"/>
    <w:rsid w:val="000C0229"/>
    <w:rsid w:val="000C2B22"/>
    <w:rsid w:val="000C5275"/>
    <w:rsid w:val="000C58FD"/>
    <w:rsid w:val="000D1C91"/>
    <w:rsid w:val="000E2E7B"/>
    <w:rsid w:val="000E6B6A"/>
    <w:rsid w:val="00102DF6"/>
    <w:rsid w:val="001045C6"/>
    <w:rsid w:val="00105B99"/>
    <w:rsid w:val="001265B8"/>
    <w:rsid w:val="001374B7"/>
    <w:rsid w:val="001417C0"/>
    <w:rsid w:val="00146C78"/>
    <w:rsid w:val="00146F21"/>
    <w:rsid w:val="00147156"/>
    <w:rsid w:val="00147EFF"/>
    <w:rsid w:val="00151317"/>
    <w:rsid w:val="00157D7B"/>
    <w:rsid w:val="00157EBE"/>
    <w:rsid w:val="00165962"/>
    <w:rsid w:val="00166D47"/>
    <w:rsid w:val="00177676"/>
    <w:rsid w:val="0018127E"/>
    <w:rsid w:val="001924E9"/>
    <w:rsid w:val="001A0180"/>
    <w:rsid w:val="001A096B"/>
    <w:rsid w:val="001A1B12"/>
    <w:rsid w:val="001B5596"/>
    <w:rsid w:val="001C4FC0"/>
    <w:rsid w:val="001C7152"/>
    <w:rsid w:val="001D3B3F"/>
    <w:rsid w:val="001D4F78"/>
    <w:rsid w:val="001E1493"/>
    <w:rsid w:val="001E40E1"/>
    <w:rsid w:val="001F0007"/>
    <w:rsid w:val="001F51F4"/>
    <w:rsid w:val="00206D4E"/>
    <w:rsid w:val="00207D6B"/>
    <w:rsid w:val="002116B6"/>
    <w:rsid w:val="00217F06"/>
    <w:rsid w:val="00223D9A"/>
    <w:rsid w:val="002240A7"/>
    <w:rsid w:val="002248A0"/>
    <w:rsid w:val="0023158C"/>
    <w:rsid w:val="002369E2"/>
    <w:rsid w:val="00237974"/>
    <w:rsid w:val="00240F47"/>
    <w:rsid w:val="002511A8"/>
    <w:rsid w:val="00260497"/>
    <w:rsid w:val="00266632"/>
    <w:rsid w:val="002760C0"/>
    <w:rsid w:val="0028155F"/>
    <w:rsid w:val="0029577A"/>
    <w:rsid w:val="002A5DC3"/>
    <w:rsid w:val="002B3A01"/>
    <w:rsid w:val="002B505E"/>
    <w:rsid w:val="002B5402"/>
    <w:rsid w:val="002B7570"/>
    <w:rsid w:val="002B79AA"/>
    <w:rsid w:val="002C0AC0"/>
    <w:rsid w:val="002C270C"/>
    <w:rsid w:val="002D73E4"/>
    <w:rsid w:val="002E17C4"/>
    <w:rsid w:val="002E275B"/>
    <w:rsid w:val="002F25E3"/>
    <w:rsid w:val="002F7A5C"/>
    <w:rsid w:val="00304C9B"/>
    <w:rsid w:val="003101C1"/>
    <w:rsid w:val="00310CE6"/>
    <w:rsid w:val="00321DFE"/>
    <w:rsid w:val="0032308C"/>
    <w:rsid w:val="00323121"/>
    <w:rsid w:val="00330921"/>
    <w:rsid w:val="00330EBB"/>
    <w:rsid w:val="003345D2"/>
    <w:rsid w:val="00336583"/>
    <w:rsid w:val="00340A82"/>
    <w:rsid w:val="003605FB"/>
    <w:rsid w:val="003609DA"/>
    <w:rsid w:val="00363B33"/>
    <w:rsid w:val="0036472E"/>
    <w:rsid w:val="003669C5"/>
    <w:rsid w:val="003747FA"/>
    <w:rsid w:val="003770AB"/>
    <w:rsid w:val="00383540"/>
    <w:rsid w:val="00396E9C"/>
    <w:rsid w:val="00397BA1"/>
    <w:rsid w:val="00397EE5"/>
    <w:rsid w:val="003C0DD3"/>
    <w:rsid w:val="003D1E2D"/>
    <w:rsid w:val="003D24FD"/>
    <w:rsid w:val="003D45FF"/>
    <w:rsid w:val="003D655B"/>
    <w:rsid w:val="003E0DE0"/>
    <w:rsid w:val="003F17D0"/>
    <w:rsid w:val="003F7EA8"/>
    <w:rsid w:val="00411E83"/>
    <w:rsid w:val="00416ADF"/>
    <w:rsid w:val="00424B31"/>
    <w:rsid w:val="004257C9"/>
    <w:rsid w:val="004303DB"/>
    <w:rsid w:val="004312A2"/>
    <w:rsid w:val="00431486"/>
    <w:rsid w:val="00433ED1"/>
    <w:rsid w:val="00437A32"/>
    <w:rsid w:val="0044195A"/>
    <w:rsid w:val="00442781"/>
    <w:rsid w:val="00451017"/>
    <w:rsid w:val="00451565"/>
    <w:rsid w:val="00460FFA"/>
    <w:rsid w:val="004704B8"/>
    <w:rsid w:val="004754CB"/>
    <w:rsid w:val="004829E7"/>
    <w:rsid w:val="00484C32"/>
    <w:rsid w:val="00485A00"/>
    <w:rsid w:val="004A009C"/>
    <w:rsid w:val="004A5F7D"/>
    <w:rsid w:val="004A724B"/>
    <w:rsid w:val="004B52F0"/>
    <w:rsid w:val="004C2CAA"/>
    <w:rsid w:val="004C2D4F"/>
    <w:rsid w:val="004C4ACC"/>
    <w:rsid w:val="004C55E0"/>
    <w:rsid w:val="004E57B2"/>
    <w:rsid w:val="004E7F18"/>
    <w:rsid w:val="004F4442"/>
    <w:rsid w:val="004F7D72"/>
    <w:rsid w:val="00515202"/>
    <w:rsid w:val="0051646E"/>
    <w:rsid w:val="00522452"/>
    <w:rsid w:val="005278D9"/>
    <w:rsid w:val="00537AC6"/>
    <w:rsid w:val="0056364C"/>
    <w:rsid w:val="00570155"/>
    <w:rsid w:val="005705B3"/>
    <w:rsid w:val="005811B4"/>
    <w:rsid w:val="005946A9"/>
    <w:rsid w:val="005A1E9B"/>
    <w:rsid w:val="005A3DD0"/>
    <w:rsid w:val="005A6186"/>
    <w:rsid w:val="005A7566"/>
    <w:rsid w:val="005B56AD"/>
    <w:rsid w:val="005C6D7C"/>
    <w:rsid w:val="005C6FA3"/>
    <w:rsid w:val="005D760A"/>
    <w:rsid w:val="005D7FA2"/>
    <w:rsid w:val="005F16E7"/>
    <w:rsid w:val="005F589F"/>
    <w:rsid w:val="00602DF1"/>
    <w:rsid w:val="0060502E"/>
    <w:rsid w:val="006146DA"/>
    <w:rsid w:val="00616988"/>
    <w:rsid w:val="00616F76"/>
    <w:rsid w:val="00630930"/>
    <w:rsid w:val="00632631"/>
    <w:rsid w:val="00632C24"/>
    <w:rsid w:val="00636396"/>
    <w:rsid w:val="006632DA"/>
    <w:rsid w:val="00672554"/>
    <w:rsid w:val="0068016A"/>
    <w:rsid w:val="00683D50"/>
    <w:rsid w:val="00691F17"/>
    <w:rsid w:val="006A415C"/>
    <w:rsid w:val="006A7079"/>
    <w:rsid w:val="006B0B55"/>
    <w:rsid w:val="006B4C95"/>
    <w:rsid w:val="006B7B39"/>
    <w:rsid w:val="006F0562"/>
    <w:rsid w:val="006F0DEE"/>
    <w:rsid w:val="006F4F2B"/>
    <w:rsid w:val="006F65C5"/>
    <w:rsid w:val="006F7B8F"/>
    <w:rsid w:val="00711E22"/>
    <w:rsid w:val="0071357C"/>
    <w:rsid w:val="00713CE5"/>
    <w:rsid w:val="007336C0"/>
    <w:rsid w:val="007460F7"/>
    <w:rsid w:val="00746D2D"/>
    <w:rsid w:val="00760F0F"/>
    <w:rsid w:val="007619F5"/>
    <w:rsid w:val="00762084"/>
    <w:rsid w:val="00762D39"/>
    <w:rsid w:val="007637A0"/>
    <w:rsid w:val="00780104"/>
    <w:rsid w:val="00780A16"/>
    <w:rsid w:val="007A52F7"/>
    <w:rsid w:val="007A7BB0"/>
    <w:rsid w:val="007B18AD"/>
    <w:rsid w:val="007B4035"/>
    <w:rsid w:val="007D7447"/>
    <w:rsid w:val="007E5021"/>
    <w:rsid w:val="007E59E0"/>
    <w:rsid w:val="007F13CB"/>
    <w:rsid w:val="008013E6"/>
    <w:rsid w:val="008030A4"/>
    <w:rsid w:val="00814BB0"/>
    <w:rsid w:val="00814C25"/>
    <w:rsid w:val="00815BCA"/>
    <w:rsid w:val="0082517F"/>
    <w:rsid w:val="00831188"/>
    <w:rsid w:val="0084277A"/>
    <w:rsid w:val="008440A3"/>
    <w:rsid w:val="00846018"/>
    <w:rsid w:val="008508BB"/>
    <w:rsid w:val="00872334"/>
    <w:rsid w:val="0087444E"/>
    <w:rsid w:val="00877395"/>
    <w:rsid w:val="00887D61"/>
    <w:rsid w:val="008916C4"/>
    <w:rsid w:val="00891C71"/>
    <w:rsid w:val="008A535D"/>
    <w:rsid w:val="008A7D6B"/>
    <w:rsid w:val="008B2006"/>
    <w:rsid w:val="008C1213"/>
    <w:rsid w:val="008C2046"/>
    <w:rsid w:val="008C6184"/>
    <w:rsid w:val="008D7E86"/>
    <w:rsid w:val="008E4307"/>
    <w:rsid w:val="008E4485"/>
    <w:rsid w:val="008E6DE1"/>
    <w:rsid w:val="008F3017"/>
    <w:rsid w:val="008F3741"/>
    <w:rsid w:val="008F786F"/>
    <w:rsid w:val="008F7B90"/>
    <w:rsid w:val="00903087"/>
    <w:rsid w:val="00903854"/>
    <w:rsid w:val="00906951"/>
    <w:rsid w:val="009104F9"/>
    <w:rsid w:val="009110F4"/>
    <w:rsid w:val="009129CE"/>
    <w:rsid w:val="009435A6"/>
    <w:rsid w:val="0094737F"/>
    <w:rsid w:val="009744BB"/>
    <w:rsid w:val="00974545"/>
    <w:rsid w:val="00981290"/>
    <w:rsid w:val="00981538"/>
    <w:rsid w:val="00985F06"/>
    <w:rsid w:val="00990AFF"/>
    <w:rsid w:val="00995655"/>
    <w:rsid w:val="009A248E"/>
    <w:rsid w:val="009B72B7"/>
    <w:rsid w:val="009C3EB8"/>
    <w:rsid w:val="009C69AB"/>
    <w:rsid w:val="009C7E4A"/>
    <w:rsid w:val="009D1A43"/>
    <w:rsid w:val="009D2D6C"/>
    <w:rsid w:val="009D4780"/>
    <w:rsid w:val="009F63B4"/>
    <w:rsid w:val="00A01BF2"/>
    <w:rsid w:val="00A10DEA"/>
    <w:rsid w:val="00A1401F"/>
    <w:rsid w:val="00A17432"/>
    <w:rsid w:val="00A20734"/>
    <w:rsid w:val="00A20B70"/>
    <w:rsid w:val="00A24F3D"/>
    <w:rsid w:val="00A51300"/>
    <w:rsid w:val="00A54809"/>
    <w:rsid w:val="00A62645"/>
    <w:rsid w:val="00A71A21"/>
    <w:rsid w:val="00A744D8"/>
    <w:rsid w:val="00A801DA"/>
    <w:rsid w:val="00A83E6C"/>
    <w:rsid w:val="00A90842"/>
    <w:rsid w:val="00A94F7A"/>
    <w:rsid w:val="00AA1188"/>
    <w:rsid w:val="00AA497C"/>
    <w:rsid w:val="00AC1362"/>
    <w:rsid w:val="00AC62B5"/>
    <w:rsid w:val="00AD1592"/>
    <w:rsid w:val="00AD518F"/>
    <w:rsid w:val="00AE4E73"/>
    <w:rsid w:val="00AF207D"/>
    <w:rsid w:val="00AF4F89"/>
    <w:rsid w:val="00B07ECE"/>
    <w:rsid w:val="00B17C4A"/>
    <w:rsid w:val="00B408EC"/>
    <w:rsid w:val="00B43779"/>
    <w:rsid w:val="00B43C7F"/>
    <w:rsid w:val="00B45854"/>
    <w:rsid w:val="00B50C7A"/>
    <w:rsid w:val="00B52886"/>
    <w:rsid w:val="00B52D42"/>
    <w:rsid w:val="00B53EB3"/>
    <w:rsid w:val="00B61155"/>
    <w:rsid w:val="00B65154"/>
    <w:rsid w:val="00B7486D"/>
    <w:rsid w:val="00B75826"/>
    <w:rsid w:val="00B812CD"/>
    <w:rsid w:val="00B84527"/>
    <w:rsid w:val="00BA185A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040AC"/>
    <w:rsid w:val="00C11A27"/>
    <w:rsid w:val="00C16350"/>
    <w:rsid w:val="00C25728"/>
    <w:rsid w:val="00C27769"/>
    <w:rsid w:val="00C337C5"/>
    <w:rsid w:val="00C3714A"/>
    <w:rsid w:val="00C64B87"/>
    <w:rsid w:val="00C83FE9"/>
    <w:rsid w:val="00C90947"/>
    <w:rsid w:val="00C919C6"/>
    <w:rsid w:val="00C94DEC"/>
    <w:rsid w:val="00C97E98"/>
    <w:rsid w:val="00CA51FC"/>
    <w:rsid w:val="00CA7BF6"/>
    <w:rsid w:val="00CC39D1"/>
    <w:rsid w:val="00CD1BE5"/>
    <w:rsid w:val="00CD2633"/>
    <w:rsid w:val="00CF540D"/>
    <w:rsid w:val="00D02ED1"/>
    <w:rsid w:val="00D0565F"/>
    <w:rsid w:val="00D221C9"/>
    <w:rsid w:val="00D239A2"/>
    <w:rsid w:val="00D23BF8"/>
    <w:rsid w:val="00D263EE"/>
    <w:rsid w:val="00D267F7"/>
    <w:rsid w:val="00D26E1D"/>
    <w:rsid w:val="00D60BB2"/>
    <w:rsid w:val="00D6157F"/>
    <w:rsid w:val="00D619FC"/>
    <w:rsid w:val="00D811C9"/>
    <w:rsid w:val="00D82DD0"/>
    <w:rsid w:val="00D83303"/>
    <w:rsid w:val="00D83645"/>
    <w:rsid w:val="00D87C5E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36727"/>
    <w:rsid w:val="00E5243F"/>
    <w:rsid w:val="00E55CF7"/>
    <w:rsid w:val="00E60107"/>
    <w:rsid w:val="00E61F32"/>
    <w:rsid w:val="00E65524"/>
    <w:rsid w:val="00E82956"/>
    <w:rsid w:val="00EA10DD"/>
    <w:rsid w:val="00EA2CF4"/>
    <w:rsid w:val="00EB3890"/>
    <w:rsid w:val="00EB6E41"/>
    <w:rsid w:val="00EE3725"/>
    <w:rsid w:val="00EE5CB6"/>
    <w:rsid w:val="00EE6C18"/>
    <w:rsid w:val="00EF115F"/>
    <w:rsid w:val="00EF1764"/>
    <w:rsid w:val="00EF607E"/>
    <w:rsid w:val="00EF7892"/>
    <w:rsid w:val="00F0246C"/>
    <w:rsid w:val="00F03BA7"/>
    <w:rsid w:val="00F06E95"/>
    <w:rsid w:val="00F175D9"/>
    <w:rsid w:val="00F54F05"/>
    <w:rsid w:val="00F65BD1"/>
    <w:rsid w:val="00F6760B"/>
    <w:rsid w:val="00F751D8"/>
    <w:rsid w:val="00F75EC1"/>
    <w:rsid w:val="00F810ED"/>
    <w:rsid w:val="00F909B3"/>
    <w:rsid w:val="00F94F9D"/>
    <w:rsid w:val="00FA1F05"/>
    <w:rsid w:val="00FA74CF"/>
    <w:rsid w:val="00FA7714"/>
    <w:rsid w:val="00FA772A"/>
    <w:rsid w:val="00FB0BB1"/>
    <w:rsid w:val="00FC1A59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AA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0B3B78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B79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79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79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79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7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2024-07-02T08:40:00Z</dcterms:created>
  <dcterms:modified xsi:type="dcterms:W3CDTF">2024-07-02T08:40:00Z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user=34114522158</vt:lpwstr>
  </property>
  <property fmtid="{D5CDD505-2E9C-101B-9397-08002B2CF9AE}" pid="4" name="geodilabeltime">
    <vt:lpwstr>datetime=2024-03-15T08:30:02.310Z</vt:lpwstr>
  </property>
</Properties>
</file>